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7B76D5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902DB9" w:rsidRPr="00B266B0">
        <w:rPr>
          <w:noProof w:val="0"/>
          <w:sz w:val="24"/>
          <w:szCs w:val="24"/>
        </w:rPr>
        <w:t xml:space="preserve">Meeting </w:t>
      </w:r>
      <w:r w:rsidR="00902DB9">
        <w:rPr>
          <w:noProof w:val="0"/>
          <w:sz w:val="24"/>
          <w:szCs w:val="24"/>
        </w:rPr>
        <w:t>#</w:t>
      </w:r>
      <w:r w:rsidR="004F33D5">
        <w:rPr>
          <w:noProof w:val="0"/>
          <w:sz w:val="24"/>
          <w:szCs w:val="24"/>
        </w:rPr>
        <w:t>96</w:t>
      </w:r>
      <w:r w:rsidRPr="00B266B0">
        <w:rPr>
          <w:bCs/>
          <w:noProof w:val="0"/>
          <w:sz w:val="24"/>
          <w:szCs w:val="24"/>
        </w:rPr>
        <w:tab/>
      </w:r>
      <w:r w:rsidR="00EB3D3D" w:rsidRPr="00EB3D3D">
        <w:rPr>
          <w:bCs/>
          <w:noProof w:val="0"/>
          <w:sz w:val="24"/>
          <w:szCs w:val="24"/>
        </w:rPr>
        <w:t>R3-171468</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DEA21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B3D3D">
        <w:rPr>
          <w:rFonts w:cs="Arial"/>
          <w:b/>
          <w:bCs/>
          <w:sz w:val="24"/>
          <w:lang w:eastAsia="ja-JP"/>
        </w:rPr>
        <w:t>10</w:t>
      </w:r>
      <w:r w:rsidR="002747EC">
        <w:rPr>
          <w:rFonts w:cs="Arial"/>
          <w:b/>
          <w:bCs/>
          <w:sz w:val="24"/>
          <w:lang w:eastAsia="ja-JP"/>
        </w:rPr>
        <w:t>.</w:t>
      </w:r>
      <w:r w:rsidR="00EB3D3D">
        <w:rPr>
          <w:rFonts w:cs="Arial"/>
          <w:b/>
          <w:bCs/>
          <w:sz w:val="24"/>
          <w:lang w:eastAsia="ja-JP"/>
        </w:rPr>
        <w:t>9</w:t>
      </w:r>
      <w:r w:rsidR="002747EC">
        <w:rPr>
          <w:rFonts w:cs="Arial"/>
          <w:b/>
          <w:bCs/>
          <w:sz w:val="24"/>
          <w:lang w:eastAsia="ja-JP"/>
        </w:rPr>
        <w:t>.</w:t>
      </w:r>
      <w:r w:rsidR="00EB3D3D">
        <w:rPr>
          <w:rFonts w:cs="Arial"/>
          <w:b/>
          <w:bCs/>
          <w:sz w:val="24"/>
          <w:lang w:eastAsia="ja-JP"/>
        </w:rPr>
        <w:t>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7181349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GoBack"/>
      <w:r w:rsidR="00EB3D3D" w:rsidRPr="00EB3D3D">
        <w:rPr>
          <w:rFonts w:ascii="Arial" w:hAnsi="Arial" w:cs="Arial"/>
          <w:b/>
          <w:bCs/>
          <w:sz w:val="24"/>
        </w:rPr>
        <w:t>Changes needed to the LTE DC procedures to support EN-DC</w:t>
      </w:r>
      <w:bookmarkEnd w:id="1"/>
    </w:p>
    <w:p w14:paraId="7DF86DB4" w14:textId="4D8DC1BA"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EB3D3D">
        <w:rPr>
          <w:rFonts w:ascii="Arial" w:hAnsi="Arial" w:cs="Arial"/>
          <w:b/>
          <w:bCs/>
          <w:sz w:val="24"/>
        </w:rPr>
        <w:t>Agreement</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476383D7" w:rsidR="00CD4C7B" w:rsidRPr="004F33D5" w:rsidRDefault="001F56AA" w:rsidP="00CD4C7B">
      <w:pPr>
        <w:rPr>
          <w:lang w:val="en-US"/>
        </w:rPr>
      </w:pPr>
      <w:r>
        <w:rPr>
          <w:lang w:val="en-US"/>
        </w:rPr>
        <w:t xml:space="preserve">At RAN3 #95-bis meeting, two different proposals were made concerning the procedures to handle </w:t>
      </w:r>
      <w:r w:rsidR="00425785">
        <w:rPr>
          <w:lang w:val="en-US"/>
        </w:rPr>
        <w:t xml:space="preserve">EN-DC over X2: defining a set of new procedures [1, 2] or enhancing existing ones [3]. </w:t>
      </w:r>
      <w:r w:rsidR="00BD2AD6">
        <w:rPr>
          <w:lang w:val="en-US"/>
        </w:rPr>
        <w:t>In this paper we focus on the changes needed and address the question of the procedures based on these changes.</w:t>
      </w:r>
    </w:p>
    <w:p w14:paraId="127ACA6D" w14:textId="3E645D20"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14:paraId="07610350" w14:textId="1681397A" w:rsidR="00BF0207" w:rsidRDefault="00BF0207" w:rsidP="00BF0207">
      <w:pPr>
        <w:pStyle w:val="Heading2"/>
      </w:pPr>
      <w:r>
        <w:t>2.1</w:t>
      </w:r>
      <w:r>
        <w:tab/>
        <w:t>Differences to LTE DC</w:t>
      </w:r>
    </w:p>
    <w:p w14:paraId="0A18124B" w14:textId="4B0484A1" w:rsidR="003428B9" w:rsidRDefault="003428B9" w:rsidP="00CD4C7B">
      <w:r>
        <w:t>Below, the features of EN-DC that distinguish it from the LTE DC are discussed and their impact on the signalling considered.</w:t>
      </w:r>
    </w:p>
    <w:p w14:paraId="7D1DD553" w14:textId="029C1611" w:rsidR="003428B9" w:rsidRPr="006D2A81" w:rsidRDefault="002E28A4" w:rsidP="00CD4C7B">
      <w:pPr>
        <w:rPr>
          <w:b/>
        </w:rPr>
      </w:pPr>
      <w:r w:rsidRPr="006D2A81">
        <w:rPr>
          <w:b/>
        </w:rPr>
        <w:t>SCG split bearer</w:t>
      </w:r>
    </w:p>
    <w:p w14:paraId="39073B2E" w14:textId="2F62D0D5" w:rsidR="002E28A4" w:rsidRDefault="00A74ABD" w:rsidP="00CD4C7B">
      <w:r>
        <w:t xml:space="preserve">The option to make the SgNB the anchor for PDCP has been introduced as “option 3” and is unique for LTE-NR DC. This option does not exist in LTE DC and is not meant to be introduced there. The new bearer type, i.e. “SCG split bearer” is applicable to scenarios where the eNB interworks with a gNB (scenarios using X2 are considered only). This new bearer type shall be enabled </w:t>
      </w:r>
      <w:r w:rsidR="00B46EB1">
        <w:t xml:space="preserve">in the </w:t>
      </w:r>
      <w:r w:rsidR="007F70CB">
        <w:t xml:space="preserve">SN </w:t>
      </w:r>
      <w:r w:rsidR="00B46EB1">
        <w:t>Addition Preparation and the M</w:t>
      </w:r>
      <w:r w:rsidR="007F70CB">
        <w:t>N</w:t>
      </w:r>
      <w:r w:rsidR="00B46EB1">
        <w:t xml:space="preserve"> initiated SgNB Modification Preparation procedures. The </w:t>
      </w:r>
      <w:r w:rsidR="007F70CB">
        <w:t>SN</w:t>
      </w:r>
      <w:r w:rsidR="00B46EB1">
        <w:t xml:space="preserve"> initiated S</w:t>
      </w:r>
      <w:r w:rsidR="007F70CB">
        <w:t>N</w:t>
      </w:r>
      <w:r w:rsidR="00B46EB1">
        <w:t xml:space="preserve"> Modification Preparation procedure may be needed, too, because of higher autonomy of SgNB (see below).</w:t>
      </w:r>
    </w:p>
    <w:p w14:paraId="77092763" w14:textId="77777777" w:rsidR="00EC4428" w:rsidRPr="006D2A81" w:rsidRDefault="00EC4428" w:rsidP="00EC4428">
      <w:pPr>
        <w:rPr>
          <w:b/>
        </w:rPr>
      </w:pPr>
      <w:r w:rsidRPr="006D2A81">
        <w:rPr>
          <w:b/>
        </w:rPr>
        <w:t>SgNB autonomy</w:t>
      </w:r>
    </w:p>
    <w:p w14:paraId="3538F747" w14:textId="0AEB14F9" w:rsidR="00EC4428" w:rsidRDefault="004D33C2" w:rsidP="00EC4428">
      <w:r>
        <w:t xml:space="preserve">In LTE DC, the SeNB was truly “secondary”: all the decisions were made in the MeNB based on the measurements that the MeNB requested. </w:t>
      </w:r>
      <w:r w:rsidR="00014290">
        <w:t xml:space="preserve">Also, all the RRC signalling was provided from MeNB. </w:t>
      </w:r>
      <w:r w:rsidR="007F70CB">
        <w:t xml:space="preserve">This changes significantly in EN-DC, where the MeNB is not competent to manage NR radio. Therefore, it has been agreed that the SgNB has higher autonomy: it controls NR measurements </w:t>
      </w:r>
      <w:r w:rsidR="00014290">
        <w:t xml:space="preserve">and </w:t>
      </w:r>
      <w:r w:rsidR="007F70CB">
        <w:t xml:space="preserve">may, because of that, initiate SgNB change. Therefore, to support the SgNB-controlled SN change, a new SN Change procedure may be needed or the existing SN initiated SN Modification Preparation, SN initiated SN Release and SN Addition Preparation procedures have to be enhanced. </w:t>
      </w:r>
      <w:r w:rsidR="00014290">
        <w:t xml:space="preserve">Also, it has already been agreed that at least part of the NR RRC signalling </w:t>
      </w:r>
      <w:r w:rsidR="00B42FA5">
        <w:t xml:space="preserve">(measurements, RRC Reconfiguration and Reconfiguration Complete) </w:t>
      </w:r>
      <w:r w:rsidR="00014290">
        <w:t xml:space="preserve">will be </w:t>
      </w:r>
      <w:r w:rsidR="00B42FA5">
        <w:t>exchanged</w:t>
      </w:r>
      <w:r w:rsidR="00014290">
        <w:t xml:space="preserve"> directly </w:t>
      </w:r>
      <w:r w:rsidR="00B42FA5">
        <w:t>between</w:t>
      </w:r>
      <w:r w:rsidR="00014290">
        <w:t xml:space="preserve"> the SgNB to the UE, which affects the overall procedure flows</w:t>
      </w:r>
      <w:r w:rsidR="000666AA">
        <w:t xml:space="preserve"> (SgNB Addition and SgNB Modification)</w:t>
      </w:r>
      <w:r w:rsidR="00014290">
        <w:t xml:space="preserve">. </w:t>
      </w:r>
      <w:r w:rsidR="007F70CB">
        <w:t>All this is unique for EN-DC and shall not be enabled for LTE DC.</w:t>
      </w:r>
    </w:p>
    <w:p w14:paraId="63C10031" w14:textId="6667B691" w:rsidR="002E28A4" w:rsidRPr="006D2A81" w:rsidRDefault="00417D25" w:rsidP="00CD4C7B">
      <w:pPr>
        <w:rPr>
          <w:b/>
        </w:rPr>
      </w:pPr>
      <w:r w:rsidRPr="006D2A81">
        <w:rPr>
          <w:b/>
        </w:rPr>
        <w:t>Different RAT</w:t>
      </w:r>
    </w:p>
    <w:p w14:paraId="33D3CF70" w14:textId="418012DF" w:rsidR="00417D25" w:rsidRDefault="00814694" w:rsidP="00CD4C7B">
      <w:r>
        <w:t>The fact that the MeNB and the SgNB offer different radio access technologies may impact X2 procedures, too. If it is needed to relay any RRC signalling fro</w:t>
      </w:r>
      <w:r w:rsidR="00184244">
        <w:t>m one through the other, it can</w:t>
      </w:r>
      <w:r>
        <w:t xml:space="preserve">not be assumed that the relaying node will be able to decode </w:t>
      </w:r>
      <w:r w:rsidR="001E146D">
        <w:t xml:space="preserve">or augment </w:t>
      </w:r>
      <w:r>
        <w:t xml:space="preserve">it. </w:t>
      </w:r>
      <w:r w:rsidR="00B436E4">
        <w:t xml:space="preserve">Hence, </w:t>
      </w:r>
      <w:r w:rsidR="001E146D">
        <w:t xml:space="preserve">whenever </w:t>
      </w:r>
      <w:r w:rsidR="00B436E4">
        <w:t>RRC containers</w:t>
      </w:r>
      <w:r w:rsidR="001E146D">
        <w:t xml:space="preserve"> are used, they must be complete</w:t>
      </w:r>
      <w:r w:rsidR="00B436E4">
        <w:t>.</w:t>
      </w:r>
      <w:r w:rsidR="00EC4428">
        <w:t xml:space="preserve"> However, adding </w:t>
      </w:r>
      <w:r w:rsidR="001E146D">
        <w:t xml:space="preserve">NR RRC containers </w:t>
      </w:r>
      <w:r w:rsidR="00EC4428">
        <w:t>would not affect LTE DC functionality.</w:t>
      </w:r>
    </w:p>
    <w:p w14:paraId="09197FEB" w14:textId="4C68576E" w:rsidR="00417D25" w:rsidRPr="006D2A81" w:rsidRDefault="0034660C" w:rsidP="00CD4C7B">
      <w:pPr>
        <w:rPr>
          <w:b/>
        </w:rPr>
      </w:pPr>
      <w:r w:rsidRPr="006D2A81">
        <w:rPr>
          <w:b/>
        </w:rPr>
        <w:t>CU-DU split</w:t>
      </w:r>
    </w:p>
    <w:p w14:paraId="1DB46583" w14:textId="7474A6AE" w:rsidR="00417D25" w:rsidRDefault="002E4B4D" w:rsidP="00CD4C7B">
      <w:r>
        <w:t xml:space="preserve">CU-DU split of SgNB is another feature existing in EN-DC only. </w:t>
      </w:r>
      <w:r w:rsidR="006819D8">
        <w:t>However, since from outside CU and DU form a gNB block, therefore it is not expected that the split would impact any of the DC procedures.</w:t>
      </w:r>
    </w:p>
    <w:p w14:paraId="3A2B5713" w14:textId="4DF1AC30" w:rsidR="00184244" w:rsidRDefault="00184244" w:rsidP="00CD4C7B">
      <w:r>
        <w:lastRenderedPageBreak/>
        <w:t xml:space="preserve">The table below summarised the above brief analysis by listing the DC procedures that will have to be impacted by the EN-DC new functionality and marking where the impact must be isolated </w:t>
      </w:r>
      <w:r w:rsidR="006D2A81">
        <w:t>from LTE DC (i.e. where LTE DC may be affected collaterally, if special precautions are not introduced)</w:t>
      </w:r>
      <w:r>
        <w:t>.</w:t>
      </w:r>
    </w:p>
    <w:tbl>
      <w:tblPr>
        <w:tblStyle w:val="TableGrid"/>
        <w:tblW w:w="0" w:type="auto"/>
        <w:tblLook w:val="04A0" w:firstRow="1" w:lastRow="0" w:firstColumn="1" w:lastColumn="0" w:noHBand="0" w:noVBand="1"/>
      </w:tblPr>
      <w:tblGrid>
        <w:gridCol w:w="4815"/>
        <w:gridCol w:w="4816"/>
      </w:tblGrid>
      <w:tr w:rsidR="006D2A81" w14:paraId="0B60F2E4" w14:textId="77777777" w:rsidTr="00777FCD">
        <w:trPr>
          <w:tblHeader/>
        </w:trPr>
        <w:tc>
          <w:tcPr>
            <w:tcW w:w="4815" w:type="dxa"/>
            <w:shd w:val="clear" w:color="auto" w:fill="D9D9D9" w:themeFill="background1" w:themeFillShade="D9"/>
          </w:tcPr>
          <w:p w14:paraId="718A819E" w14:textId="1D7F81B3" w:rsidR="006D2A81" w:rsidRDefault="006D2A81" w:rsidP="00777FCD">
            <w:pPr>
              <w:keepNext/>
              <w:spacing w:before="120" w:after="120"/>
            </w:pPr>
            <w:r>
              <w:t>DC procedure</w:t>
            </w:r>
          </w:p>
        </w:tc>
        <w:tc>
          <w:tcPr>
            <w:tcW w:w="4816" w:type="dxa"/>
            <w:shd w:val="clear" w:color="auto" w:fill="D9D9D9" w:themeFill="background1" w:themeFillShade="D9"/>
          </w:tcPr>
          <w:p w14:paraId="699B7193" w14:textId="02457C8C" w:rsidR="006D2A81" w:rsidRDefault="00777FCD" w:rsidP="00777FCD">
            <w:pPr>
              <w:keepNext/>
              <w:spacing w:before="120" w:after="120"/>
            </w:pPr>
            <w:r>
              <w:t>Enhancement needed and p</w:t>
            </w:r>
            <w:r w:rsidR="006D2A81">
              <w:t>ossible impact on LTE DC</w:t>
            </w:r>
          </w:p>
        </w:tc>
      </w:tr>
      <w:tr w:rsidR="006D2A81" w14:paraId="5AC7BF62" w14:textId="77777777" w:rsidTr="006D2A81">
        <w:tc>
          <w:tcPr>
            <w:tcW w:w="4815" w:type="dxa"/>
          </w:tcPr>
          <w:p w14:paraId="2152CA2E" w14:textId="37801521" w:rsidR="006D2A81" w:rsidRDefault="006D2A81" w:rsidP="00777FCD">
            <w:pPr>
              <w:spacing w:before="120" w:after="120"/>
            </w:pPr>
            <w:r>
              <w:t>SN Addition Procedure</w:t>
            </w:r>
          </w:p>
        </w:tc>
        <w:tc>
          <w:tcPr>
            <w:tcW w:w="4816" w:type="dxa"/>
          </w:tcPr>
          <w:p w14:paraId="002306C7" w14:textId="04941EDA" w:rsidR="006D2A81" w:rsidRDefault="00777FCD" w:rsidP="00777FCD">
            <w:pPr>
              <w:spacing w:before="120" w:after="120"/>
            </w:pPr>
            <w:r>
              <w:t>Yes, needs to be isolated</w:t>
            </w:r>
          </w:p>
        </w:tc>
      </w:tr>
      <w:tr w:rsidR="006D2A81" w14:paraId="0E9C9B6A" w14:textId="77777777" w:rsidTr="006D2A81">
        <w:tc>
          <w:tcPr>
            <w:tcW w:w="4815" w:type="dxa"/>
          </w:tcPr>
          <w:p w14:paraId="676D6E49" w14:textId="0F9641B1" w:rsidR="006D2A81" w:rsidRDefault="00777FCD" w:rsidP="00777FCD">
            <w:pPr>
              <w:spacing w:before="120" w:after="120"/>
            </w:pPr>
            <w:r>
              <w:t>SN</w:t>
            </w:r>
            <w:r w:rsidR="006D2A81" w:rsidRPr="006D2A81">
              <w:t xml:space="preserve"> Reconfiguration Completion</w:t>
            </w:r>
          </w:p>
        </w:tc>
        <w:tc>
          <w:tcPr>
            <w:tcW w:w="4816" w:type="dxa"/>
          </w:tcPr>
          <w:p w14:paraId="6C2CD2B7" w14:textId="3CAB7F2A" w:rsidR="006D2A81" w:rsidRDefault="00777FCD" w:rsidP="00777FCD">
            <w:pPr>
              <w:spacing w:before="120" w:after="120"/>
            </w:pPr>
            <w:r>
              <w:t>No major enhancements expected</w:t>
            </w:r>
          </w:p>
        </w:tc>
      </w:tr>
      <w:tr w:rsidR="006D2A81" w14:paraId="28A3747E" w14:textId="77777777" w:rsidTr="006D2A81">
        <w:tc>
          <w:tcPr>
            <w:tcW w:w="4815" w:type="dxa"/>
          </w:tcPr>
          <w:p w14:paraId="2588609E" w14:textId="32725156" w:rsidR="006D2A81" w:rsidRPr="006D2A81" w:rsidRDefault="00777FCD" w:rsidP="00777FCD">
            <w:pPr>
              <w:spacing w:before="120" w:after="120"/>
            </w:pPr>
            <w:r>
              <w:t>MN</w:t>
            </w:r>
            <w:r w:rsidRPr="00C67B9A">
              <w:t xml:space="preserve"> initiated </w:t>
            </w:r>
            <w:r>
              <w:t>SN</w:t>
            </w:r>
            <w:r w:rsidRPr="00C67B9A">
              <w:t xml:space="preserve"> Modification Preparation</w:t>
            </w:r>
          </w:p>
        </w:tc>
        <w:tc>
          <w:tcPr>
            <w:tcW w:w="4816" w:type="dxa"/>
          </w:tcPr>
          <w:p w14:paraId="7BEF5BD8" w14:textId="5BFE1035" w:rsidR="006D2A81" w:rsidRDefault="00777FCD" w:rsidP="00777FCD">
            <w:pPr>
              <w:spacing w:before="120" w:after="120"/>
            </w:pPr>
            <w:r>
              <w:t>Yes, needs to be isolated</w:t>
            </w:r>
          </w:p>
        </w:tc>
      </w:tr>
      <w:tr w:rsidR="00777FCD" w14:paraId="448DA341" w14:textId="77777777" w:rsidTr="006D2A81">
        <w:tc>
          <w:tcPr>
            <w:tcW w:w="4815" w:type="dxa"/>
          </w:tcPr>
          <w:p w14:paraId="2221FA5B" w14:textId="2B693001" w:rsidR="00777FCD" w:rsidRPr="00C67B9A" w:rsidRDefault="00777FCD" w:rsidP="00777FCD">
            <w:pPr>
              <w:spacing w:before="120" w:after="120"/>
            </w:pPr>
            <w:r>
              <w:t>SN</w:t>
            </w:r>
            <w:r w:rsidRPr="00C67B9A">
              <w:t xml:space="preserve"> initiated </w:t>
            </w:r>
            <w:r>
              <w:t>SN</w:t>
            </w:r>
            <w:r w:rsidRPr="00C67B9A">
              <w:t xml:space="preserve"> Modification</w:t>
            </w:r>
          </w:p>
        </w:tc>
        <w:tc>
          <w:tcPr>
            <w:tcW w:w="4816" w:type="dxa"/>
          </w:tcPr>
          <w:p w14:paraId="0C8E277D" w14:textId="613609D3" w:rsidR="00777FCD" w:rsidRDefault="00777FCD" w:rsidP="00777FCD">
            <w:pPr>
              <w:spacing w:before="120" w:after="120"/>
            </w:pPr>
            <w:r>
              <w:t>Yes, needs to be isolated</w:t>
            </w:r>
          </w:p>
        </w:tc>
      </w:tr>
      <w:tr w:rsidR="00777FCD" w14:paraId="6CD06FA0" w14:textId="77777777" w:rsidTr="006D2A81">
        <w:tc>
          <w:tcPr>
            <w:tcW w:w="4815" w:type="dxa"/>
          </w:tcPr>
          <w:p w14:paraId="2BA457B6" w14:textId="32AD9FD7" w:rsidR="00777FCD" w:rsidRPr="00C67B9A" w:rsidRDefault="00777FCD" w:rsidP="00777FCD">
            <w:pPr>
              <w:spacing w:before="120" w:after="120"/>
            </w:pPr>
            <w:r>
              <w:rPr>
                <w:rFonts w:cs="Arial"/>
              </w:rPr>
              <w:t>MN</w:t>
            </w:r>
            <w:r w:rsidRPr="00C67B9A">
              <w:rPr>
                <w:rFonts w:cs="Arial"/>
              </w:rPr>
              <w:t xml:space="preserve"> initiated </w:t>
            </w:r>
            <w:r>
              <w:rPr>
                <w:rFonts w:cs="Arial"/>
              </w:rPr>
              <w:t>SN</w:t>
            </w:r>
            <w:r w:rsidRPr="00C67B9A">
              <w:rPr>
                <w:rFonts w:cs="Arial"/>
              </w:rPr>
              <w:t xml:space="preserve"> Release</w:t>
            </w:r>
          </w:p>
        </w:tc>
        <w:tc>
          <w:tcPr>
            <w:tcW w:w="4816" w:type="dxa"/>
          </w:tcPr>
          <w:p w14:paraId="5AC5AED1" w14:textId="3FF27D91" w:rsidR="00777FCD" w:rsidRDefault="00777FCD" w:rsidP="00777FCD">
            <w:pPr>
              <w:spacing w:before="120" w:after="120"/>
            </w:pPr>
            <w:r>
              <w:t>Possibly (for SCG split bearer release request), needs to be isolated</w:t>
            </w:r>
          </w:p>
        </w:tc>
      </w:tr>
      <w:tr w:rsidR="00777FCD" w14:paraId="3343BCE6" w14:textId="77777777" w:rsidTr="006D2A81">
        <w:tc>
          <w:tcPr>
            <w:tcW w:w="4815" w:type="dxa"/>
          </w:tcPr>
          <w:p w14:paraId="1A042F3A" w14:textId="3CC3D8C8" w:rsidR="00777FCD" w:rsidRPr="00C67B9A" w:rsidRDefault="00777FCD" w:rsidP="00777FCD">
            <w:pPr>
              <w:spacing w:before="120" w:after="120"/>
              <w:rPr>
                <w:rFonts w:cs="Arial"/>
              </w:rPr>
            </w:pPr>
            <w:r>
              <w:t>SN</w:t>
            </w:r>
            <w:r w:rsidRPr="00C67B9A">
              <w:t xml:space="preserve"> initiated </w:t>
            </w:r>
            <w:r>
              <w:t>SN</w:t>
            </w:r>
            <w:r w:rsidRPr="00C67B9A">
              <w:t xml:space="preserve"> Release</w:t>
            </w:r>
          </w:p>
        </w:tc>
        <w:tc>
          <w:tcPr>
            <w:tcW w:w="4816" w:type="dxa"/>
          </w:tcPr>
          <w:p w14:paraId="2D947470" w14:textId="760EA0F5" w:rsidR="00777FCD" w:rsidRDefault="00777FCD" w:rsidP="00777FCD">
            <w:pPr>
              <w:spacing w:before="120" w:after="120"/>
            </w:pPr>
            <w:r>
              <w:t>Possibly (if used for SN Change), needs to be isolated</w:t>
            </w:r>
          </w:p>
        </w:tc>
      </w:tr>
      <w:tr w:rsidR="00777FCD" w14:paraId="70124AA4" w14:textId="77777777" w:rsidTr="006D2A81">
        <w:tc>
          <w:tcPr>
            <w:tcW w:w="4815" w:type="dxa"/>
          </w:tcPr>
          <w:p w14:paraId="2EDB3A09" w14:textId="460E9EBA" w:rsidR="00777FCD" w:rsidRPr="00C67B9A" w:rsidRDefault="00777FCD" w:rsidP="00777FCD">
            <w:pPr>
              <w:spacing w:before="120" w:after="120"/>
            </w:pPr>
            <w:r>
              <w:t>SN</w:t>
            </w:r>
            <w:r w:rsidRPr="00C67B9A">
              <w:t xml:space="preserve"> Counter Check</w:t>
            </w:r>
          </w:p>
        </w:tc>
        <w:tc>
          <w:tcPr>
            <w:tcW w:w="4816" w:type="dxa"/>
          </w:tcPr>
          <w:p w14:paraId="2B4E25F1" w14:textId="34A6A529" w:rsidR="00777FCD" w:rsidRDefault="00777FCD" w:rsidP="00777FCD">
            <w:pPr>
              <w:spacing w:before="120" w:after="120"/>
            </w:pPr>
            <w:r>
              <w:t>No major enhancements expected</w:t>
            </w:r>
          </w:p>
        </w:tc>
      </w:tr>
    </w:tbl>
    <w:p w14:paraId="73433AC3" w14:textId="33C20EC2" w:rsidR="00184244" w:rsidRDefault="00184244" w:rsidP="00CD4C7B"/>
    <w:p w14:paraId="36BD0071" w14:textId="02D5298B" w:rsidR="00555167" w:rsidRDefault="00555167" w:rsidP="00CD4C7B">
      <w:r>
        <w:t xml:space="preserve">As it is shown, most of the procedures are affected and the impact must be limited to the EN-DC cases. Such isolation may be achieved with special usage description of the new and existing IEs, but is prone to errors. It much easier to obtain it naturally, by defining new procedures that can be used only with SgNB, but not with SeNB. </w:t>
      </w:r>
    </w:p>
    <w:p w14:paraId="46A76A6D" w14:textId="1BBBD544" w:rsidR="00587EF3" w:rsidRPr="00587EF3" w:rsidRDefault="00587EF3" w:rsidP="00CD4C7B">
      <w:pPr>
        <w:rPr>
          <w:b/>
        </w:rPr>
      </w:pPr>
      <w:r w:rsidRPr="00587EF3">
        <w:rPr>
          <w:b/>
        </w:rPr>
        <w:t>Proposal</w:t>
      </w:r>
      <w:r w:rsidR="00BF0207">
        <w:rPr>
          <w:b/>
        </w:rPr>
        <w:t xml:space="preserve"> 1</w:t>
      </w:r>
      <w:r w:rsidRPr="00587EF3">
        <w:rPr>
          <w:b/>
        </w:rPr>
        <w:t xml:space="preserve">: </w:t>
      </w:r>
      <w:r w:rsidR="00BF0207">
        <w:rPr>
          <w:b/>
        </w:rPr>
        <w:t>T</w:t>
      </w:r>
      <w:r w:rsidRPr="00587EF3">
        <w:rPr>
          <w:b/>
        </w:rPr>
        <w:t xml:space="preserve">he procedures to handle EN-DC over X2 shall be defined as new procedures that can be used with SgNB only. </w:t>
      </w:r>
    </w:p>
    <w:p w14:paraId="5B33D7A2" w14:textId="24A1AE3B" w:rsidR="00587EF3" w:rsidRDefault="00587EF3" w:rsidP="00CD4C7B">
      <w:r>
        <w:t>For consistence, it is reasonable to apply the above to the two procedures that are not expected to be affected, too.</w:t>
      </w:r>
    </w:p>
    <w:p w14:paraId="5D144205" w14:textId="67FF05A0" w:rsidR="00BF0207" w:rsidRDefault="00BF0207" w:rsidP="00BF0207">
      <w:pPr>
        <w:pStyle w:val="Heading2"/>
      </w:pPr>
      <w:r>
        <w:t>2.2</w:t>
      </w:r>
      <w:r>
        <w:tab/>
        <w:t>Other aspects of X2 signalling for EN-DC</w:t>
      </w:r>
    </w:p>
    <w:p w14:paraId="0F657E8F" w14:textId="75F450EA" w:rsidR="00BF0207" w:rsidRDefault="00BF0207" w:rsidP="00BF0207">
      <w:r>
        <w:t xml:space="preserve">Besides the procedures dedicated to handle DC, also the common procedures of X2 may be affected by the fact that the </w:t>
      </w:r>
      <w:r w:rsidR="003D4F44">
        <w:t>peer node supports NR radio. The impact is, however, limited: so far, it is clear that the NR cells should be possible to be exchanged in the Setup and Update procedures (see other contributions). Otherwise, the common procedures are not affected, except that special handling of the list of LTE cells that is mandatory needs to be provided (but ignoring a mandatory IE in case another IE is present is nothing new in RAN3). Hence, the proposal concerning the common procedures remain unchanged:</w:t>
      </w:r>
    </w:p>
    <w:p w14:paraId="0249BF89" w14:textId="246A21D7" w:rsidR="003D4F44" w:rsidRPr="003D4F44" w:rsidRDefault="003D4F44" w:rsidP="00BF0207">
      <w:pPr>
        <w:rPr>
          <w:b/>
        </w:rPr>
      </w:pPr>
      <w:r w:rsidRPr="003D4F44">
        <w:rPr>
          <w:b/>
        </w:rPr>
        <w:t>Proposal 2: Common procedures of X2 should be enhanced to handle NR cells (and possible radio resources), but do not need to be defined anew.</w:t>
      </w:r>
    </w:p>
    <w:p w14:paraId="5B5C556D" w14:textId="24A82A21" w:rsidR="004F33D5" w:rsidRPr="000A78CD" w:rsidRDefault="004F33D5" w:rsidP="004F33D5">
      <w:pPr>
        <w:pStyle w:val="Heading1"/>
        <w:rPr>
          <w:lang w:val="en-US"/>
        </w:rPr>
      </w:pPr>
      <w:r w:rsidRPr="000A78CD">
        <w:rPr>
          <w:lang w:val="en-US"/>
        </w:rPr>
        <w:t>3</w:t>
      </w:r>
      <w:r w:rsidRPr="000A78CD">
        <w:rPr>
          <w:lang w:val="en-US"/>
        </w:rPr>
        <w:tab/>
        <w:t>Summary</w:t>
      </w:r>
    </w:p>
    <w:p w14:paraId="3D226FB8" w14:textId="77777777" w:rsidR="003D4F44" w:rsidRDefault="00D3387F" w:rsidP="001B49C9">
      <w:r>
        <w:t>In this paper</w:t>
      </w:r>
      <w:r w:rsidR="00684FE7">
        <w:t>,</w:t>
      </w:r>
      <w:r>
        <w:t xml:space="preserve"> we have reviewed the new functionality that needs </w:t>
      </w:r>
      <w:r w:rsidR="008A75BF">
        <w:t xml:space="preserve">to be enabled over X2 for EN-DC. We have analysed which DC procedures would be affected and when the impact would have to be isolated from LTE DC. It is shown that special care would need to be assumed in case of most of the analysed procedures. </w:t>
      </w:r>
      <w:r w:rsidR="003D4F44">
        <w:t>We’ve also reminded the expected impact on the common X2 procedures. Finally</w:t>
      </w:r>
      <w:r w:rsidR="008A75BF">
        <w:t>, it is proposed</w:t>
      </w:r>
      <w:r w:rsidR="003D4F44">
        <w:t>:</w:t>
      </w:r>
    </w:p>
    <w:p w14:paraId="378C7AB8" w14:textId="6DB24895" w:rsidR="003D4F44" w:rsidRDefault="003D4F44" w:rsidP="003D4F44">
      <w:pPr>
        <w:pStyle w:val="ListParagraph"/>
        <w:numPr>
          <w:ilvl w:val="0"/>
          <w:numId w:val="15"/>
        </w:numPr>
      </w:pPr>
      <w:r w:rsidRPr="003D4F44">
        <w:t>The procedures to handle EN-DC over X2 shall be defined as new procedures that can be used with SgNB only.</w:t>
      </w:r>
    </w:p>
    <w:p w14:paraId="6B9777C2" w14:textId="52062F4A" w:rsidR="003D4F44" w:rsidRDefault="003D4F44" w:rsidP="003D4F44">
      <w:pPr>
        <w:pStyle w:val="ListParagraph"/>
        <w:numPr>
          <w:ilvl w:val="0"/>
          <w:numId w:val="15"/>
        </w:numPr>
      </w:pPr>
      <w:r w:rsidRPr="003D4F44">
        <w:t>Common procedures of X2 should be enhanced to handle NR cells (and possible radio resources), but do not need to be defined anew.</w:t>
      </w:r>
    </w:p>
    <w:p w14:paraId="745AF239" w14:textId="3DE5DACC" w:rsidR="002D6B89" w:rsidRPr="006E13D1" w:rsidRDefault="00EB3D3D" w:rsidP="001B49C9">
      <w:r>
        <w:t>A TP for</w:t>
      </w:r>
      <w:r w:rsidR="002D6B89">
        <w:t xml:space="preserve"> TS 37.340</w:t>
      </w:r>
      <w:r>
        <w:t xml:space="preserve"> is proposed in [4], while</w:t>
      </w:r>
      <w:r w:rsidR="002D6B89">
        <w:t xml:space="preserve"> </w:t>
      </w:r>
      <w:r>
        <w:t>a</w:t>
      </w:r>
      <w:r w:rsidR="002D6B89">
        <w:t xml:space="preserve"> draft</w:t>
      </w:r>
      <w:r>
        <w:t xml:space="preserve"> CR for 36.300 is proposed in [5</w:t>
      </w:r>
      <w:r w:rsidR="002D6B89">
        <w:t>].</w:t>
      </w:r>
    </w:p>
    <w:p w14:paraId="0FDCFAC2" w14:textId="77777777" w:rsidR="00CD4C7B" w:rsidRPr="006E13D1" w:rsidRDefault="00CD4C7B" w:rsidP="00CD4C7B">
      <w:pPr>
        <w:pStyle w:val="Heading1"/>
      </w:pPr>
      <w:r w:rsidRPr="006E13D1">
        <w:lastRenderedPageBreak/>
        <w:t>References</w:t>
      </w:r>
    </w:p>
    <w:p w14:paraId="4AA5C936" w14:textId="1C983F14" w:rsidR="00CD4C7B" w:rsidRDefault="00EB3D3D" w:rsidP="00EB3D3D">
      <w:pPr>
        <w:numPr>
          <w:ilvl w:val="0"/>
          <w:numId w:val="4"/>
        </w:numPr>
        <w:overflowPunct w:val="0"/>
        <w:autoSpaceDE w:val="0"/>
        <w:autoSpaceDN w:val="0"/>
        <w:adjustRightInd w:val="0"/>
        <w:textAlignment w:val="baseline"/>
      </w:pPr>
      <w:r w:rsidRPr="00EB3D3D">
        <w:t>R3-171000</w:t>
      </w:r>
      <w:r>
        <w:t>, RAN3 #95-bis</w:t>
      </w:r>
    </w:p>
    <w:p w14:paraId="6C4F87FE" w14:textId="659391FE" w:rsidR="00425785" w:rsidRDefault="00EB3D3D" w:rsidP="00EB3D3D">
      <w:pPr>
        <w:numPr>
          <w:ilvl w:val="0"/>
          <w:numId w:val="4"/>
        </w:numPr>
        <w:overflowPunct w:val="0"/>
        <w:autoSpaceDE w:val="0"/>
        <w:autoSpaceDN w:val="0"/>
        <w:adjustRightInd w:val="0"/>
        <w:textAlignment w:val="baseline"/>
      </w:pPr>
      <w:r w:rsidRPr="00EB3D3D">
        <w:t>R3-171232</w:t>
      </w:r>
      <w:r>
        <w:t>, RAN3 #95-bis</w:t>
      </w:r>
    </w:p>
    <w:p w14:paraId="350E182D" w14:textId="1ED41669" w:rsidR="00425785" w:rsidRDefault="00EB3D3D" w:rsidP="00EB3D3D">
      <w:pPr>
        <w:numPr>
          <w:ilvl w:val="0"/>
          <w:numId w:val="4"/>
        </w:numPr>
        <w:overflowPunct w:val="0"/>
        <w:autoSpaceDE w:val="0"/>
        <w:autoSpaceDN w:val="0"/>
        <w:adjustRightInd w:val="0"/>
        <w:textAlignment w:val="baseline"/>
      </w:pPr>
      <w:r w:rsidRPr="00EB3D3D">
        <w:t>R3-171157</w:t>
      </w:r>
      <w:r>
        <w:t>, RAN3 #95-bis</w:t>
      </w:r>
    </w:p>
    <w:p w14:paraId="496C7CD5" w14:textId="045FFC03" w:rsidR="00EB3D3D" w:rsidRDefault="00EB3D3D" w:rsidP="00EB3D3D">
      <w:pPr>
        <w:numPr>
          <w:ilvl w:val="0"/>
          <w:numId w:val="4"/>
        </w:numPr>
        <w:overflowPunct w:val="0"/>
        <w:autoSpaceDE w:val="0"/>
        <w:autoSpaceDN w:val="0"/>
        <w:adjustRightInd w:val="0"/>
        <w:textAlignment w:val="baseline"/>
      </w:pPr>
      <w:r w:rsidRPr="00EB3D3D">
        <w:t>R3-171469</w:t>
      </w:r>
      <w:r>
        <w:t>, RAN3 #96</w:t>
      </w:r>
    </w:p>
    <w:p w14:paraId="57957A79" w14:textId="12536BE7" w:rsidR="002D6B89" w:rsidRPr="006E13D1" w:rsidRDefault="00EB3D3D" w:rsidP="00EB3D3D">
      <w:pPr>
        <w:numPr>
          <w:ilvl w:val="0"/>
          <w:numId w:val="4"/>
        </w:numPr>
        <w:overflowPunct w:val="0"/>
        <w:autoSpaceDE w:val="0"/>
        <w:autoSpaceDN w:val="0"/>
        <w:adjustRightInd w:val="0"/>
        <w:textAlignment w:val="baseline"/>
      </w:pPr>
      <w:r w:rsidRPr="00EB3D3D">
        <w:t>R</w:t>
      </w:r>
      <w:r>
        <w:t>3-171470, RAN3 #96</w:t>
      </w:r>
    </w:p>
    <w:sectPr w:rsidR="002D6B89"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65B36" w14:textId="77777777" w:rsidR="00985C93" w:rsidRDefault="00985C93">
      <w:r>
        <w:separator/>
      </w:r>
    </w:p>
  </w:endnote>
  <w:endnote w:type="continuationSeparator" w:id="0">
    <w:p w14:paraId="25AD2159" w14:textId="77777777" w:rsidR="00985C93" w:rsidRDefault="0098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F64AF" w14:textId="77777777" w:rsidR="00985C93" w:rsidRDefault="00985C93">
      <w:r>
        <w:separator/>
      </w:r>
    </w:p>
  </w:footnote>
  <w:footnote w:type="continuationSeparator" w:id="0">
    <w:p w14:paraId="64EF9874" w14:textId="77777777" w:rsidR="00985C93" w:rsidRDefault="00985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76AF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6651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A68B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A522B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5EB3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69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0A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DEC0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E83E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2E9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9F01240"/>
    <w:multiLevelType w:val="hybridMultilevel"/>
    <w:tmpl w:val="466E40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290"/>
    <w:rsid w:val="00033397"/>
    <w:rsid w:val="00040095"/>
    <w:rsid w:val="000666AA"/>
    <w:rsid w:val="00080512"/>
    <w:rsid w:val="00083FBE"/>
    <w:rsid w:val="00090468"/>
    <w:rsid w:val="000A25A7"/>
    <w:rsid w:val="000A78CD"/>
    <w:rsid w:val="000B7BCF"/>
    <w:rsid w:val="000C522B"/>
    <w:rsid w:val="000D0CF2"/>
    <w:rsid w:val="000D58AB"/>
    <w:rsid w:val="00117573"/>
    <w:rsid w:val="00120C0A"/>
    <w:rsid w:val="00145075"/>
    <w:rsid w:val="001471B1"/>
    <w:rsid w:val="001672F9"/>
    <w:rsid w:val="00167937"/>
    <w:rsid w:val="001741A0"/>
    <w:rsid w:val="00176010"/>
    <w:rsid w:val="00184244"/>
    <w:rsid w:val="00194CD0"/>
    <w:rsid w:val="001A3FBB"/>
    <w:rsid w:val="001B49C9"/>
    <w:rsid w:val="001C2E8E"/>
    <w:rsid w:val="001E146D"/>
    <w:rsid w:val="001F168B"/>
    <w:rsid w:val="001F56AA"/>
    <w:rsid w:val="001F7831"/>
    <w:rsid w:val="00204045"/>
    <w:rsid w:val="002218EE"/>
    <w:rsid w:val="0022606D"/>
    <w:rsid w:val="00251270"/>
    <w:rsid w:val="00263E69"/>
    <w:rsid w:val="0027032A"/>
    <w:rsid w:val="002747EC"/>
    <w:rsid w:val="002855BF"/>
    <w:rsid w:val="002B7205"/>
    <w:rsid w:val="002C0667"/>
    <w:rsid w:val="002C0804"/>
    <w:rsid w:val="002D6B89"/>
    <w:rsid w:val="002E28A4"/>
    <w:rsid w:val="002E4B4D"/>
    <w:rsid w:val="002F0D22"/>
    <w:rsid w:val="0030278E"/>
    <w:rsid w:val="003172DC"/>
    <w:rsid w:val="00323C5C"/>
    <w:rsid w:val="00326069"/>
    <w:rsid w:val="003428B9"/>
    <w:rsid w:val="00344999"/>
    <w:rsid w:val="0034660C"/>
    <w:rsid w:val="0035462D"/>
    <w:rsid w:val="0038000F"/>
    <w:rsid w:val="003861EC"/>
    <w:rsid w:val="003949A7"/>
    <w:rsid w:val="003A2485"/>
    <w:rsid w:val="003B40AD"/>
    <w:rsid w:val="003C4E37"/>
    <w:rsid w:val="003D4F44"/>
    <w:rsid w:val="003E0806"/>
    <w:rsid w:val="003E16BE"/>
    <w:rsid w:val="00401855"/>
    <w:rsid w:val="00417D25"/>
    <w:rsid w:val="00425785"/>
    <w:rsid w:val="00425E30"/>
    <w:rsid w:val="00457B53"/>
    <w:rsid w:val="00477455"/>
    <w:rsid w:val="004A1386"/>
    <w:rsid w:val="004C42AE"/>
    <w:rsid w:val="004D33C2"/>
    <w:rsid w:val="004D3578"/>
    <w:rsid w:val="004D380D"/>
    <w:rsid w:val="004E213A"/>
    <w:rsid w:val="004F0140"/>
    <w:rsid w:val="004F33D5"/>
    <w:rsid w:val="00503171"/>
    <w:rsid w:val="00506C28"/>
    <w:rsid w:val="00534DA0"/>
    <w:rsid w:val="00543E6C"/>
    <w:rsid w:val="00551CC8"/>
    <w:rsid w:val="00555167"/>
    <w:rsid w:val="00565087"/>
    <w:rsid w:val="0056573F"/>
    <w:rsid w:val="00587EF3"/>
    <w:rsid w:val="005B01B3"/>
    <w:rsid w:val="00604C25"/>
    <w:rsid w:val="00611566"/>
    <w:rsid w:val="00640407"/>
    <w:rsid w:val="00646D99"/>
    <w:rsid w:val="006537A4"/>
    <w:rsid w:val="00655A45"/>
    <w:rsid w:val="00656910"/>
    <w:rsid w:val="00674DCB"/>
    <w:rsid w:val="006819D8"/>
    <w:rsid w:val="00684FE7"/>
    <w:rsid w:val="006C065D"/>
    <w:rsid w:val="006C393A"/>
    <w:rsid w:val="006C66D8"/>
    <w:rsid w:val="006D1E24"/>
    <w:rsid w:val="006D2A81"/>
    <w:rsid w:val="006E1417"/>
    <w:rsid w:val="006F00D9"/>
    <w:rsid w:val="006F6A2C"/>
    <w:rsid w:val="00710201"/>
    <w:rsid w:val="00734A5B"/>
    <w:rsid w:val="00744E76"/>
    <w:rsid w:val="00757D40"/>
    <w:rsid w:val="00777FCD"/>
    <w:rsid w:val="00781F0F"/>
    <w:rsid w:val="0078727C"/>
    <w:rsid w:val="0079049D"/>
    <w:rsid w:val="007B18D8"/>
    <w:rsid w:val="007B276E"/>
    <w:rsid w:val="007C095F"/>
    <w:rsid w:val="007F6CD1"/>
    <w:rsid w:val="007F70CB"/>
    <w:rsid w:val="008028A4"/>
    <w:rsid w:val="00813245"/>
    <w:rsid w:val="00813F8B"/>
    <w:rsid w:val="00814694"/>
    <w:rsid w:val="00814904"/>
    <w:rsid w:val="008337FD"/>
    <w:rsid w:val="008768CA"/>
    <w:rsid w:val="00877EF9"/>
    <w:rsid w:val="00880559"/>
    <w:rsid w:val="008A75BF"/>
    <w:rsid w:val="008B5306"/>
    <w:rsid w:val="0090271F"/>
    <w:rsid w:val="00902DB9"/>
    <w:rsid w:val="0090466A"/>
    <w:rsid w:val="00936071"/>
    <w:rsid w:val="00940212"/>
    <w:rsid w:val="00942EC2"/>
    <w:rsid w:val="00961B32"/>
    <w:rsid w:val="00962206"/>
    <w:rsid w:val="00970DB3"/>
    <w:rsid w:val="00974BB0"/>
    <w:rsid w:val="00985C93"/>
    <w:rsid w:val="009A0AF3"/>
    <w:rsid w:val="009B07CD"/>
    <w:rsid w:val="009C19E9"/>
    <w:rsid w:val="009D4111"/>
    <w:rsid w:val="00A059A1"/>
    <w:rsid w:val="00A07D5E"/>
    <w:rsid w:val="00A10F02"/>
    <w:rsid w:val="00A204CA"/>
    <w:rsid w:val="00A450A6"/>
    <w:rsid w:val="00A53724"/>
    <w:rsid w:val="00A74ABD"/>
    <w:rsid w:val="00A82346"/>
    <w:rsid w:val="00A92F94"/>
    <w:rsid w:val="00A9671C"/>
    <w:rsid w:val="00AA1553"/>
    <w:rsid w:val="00AE0E62"/>
    <w:rsid w:val="00B15449"/>
    <w:rsid w:val="00B16859"/>
    <w:rsid w:val="00B179BA"/>
    <w:rsid w:val="00B42FA5"/>
    <w:rsid w:val="00B436E4"/>
    <w:rsid w:val="00B46EB1"/>
    <w:rsid w:val="00B47FD1"/>
    <w:rsid w:val="00B516BB"/>
    <w:rsid w:val="00BA110F"/>
    <w:rsid w:val="00BA490F"/>
    <w:rsid w:val="00BA7E68"/>
    <w:rsid w:val="00BC23B6"/>
    <w:rsid w:val="00BD108E"/>
    <w:rsid w:val="00BD2AD6"/>
    <w:rsid w:val="00BE29AF"/>
    <w:rsid w:val="00BF0207"/>
    <w:rsid w:val="00C12B51"/>
    <w:rsid w:val="00C24650"/>
    <w:rsid w:val="00C33079"/>
    <w:rsid w:val="00C45187"/>
    <w:rsid w:val="00C458D3"/>
    <w:rsid w:val="00C55D0A"/>
    <w:rsid w:val="00C71AC5"/>
    <w:rsid w:val="00C83A13"/>
    <w:rsid w:val="00C9068C"/>
    <w:rsid w:val="00C92967"/>
    <w:rsid w:val="00CA3D0C"/>
    <w:rsid w:val="00CA654B"/>
    <w:rsid w:val="00CD4C7B"/>
    <w:rsid w:val="00D06E8F"/>
    <w:rsid w:val="00D3387F"/>
    <w:rsid w:val="00D55971"/>
    <w:rsid w:val="00D61143"/>
    <w:rsid w:val="00D73308"/>
    <w:rsid w:val="00D738D6"/>
    <w:rsid w:val="00D80795"/>
    <w:rsid w:val="00D87E00"/>
    <w:rsid w:val="00D9134D"/>
    <w:rsid w:val="00D96D11"/>
    <w:rsid w:val="00DA0BD6"/>
    <w:rsid w:val="00DA7A03"/>
    <w:rsid w:val="00DB1818"/>
    <w:rsid w:val="00DC309B"/>
    <w:rsid w:val="00DC4DA2"/>
    <w:rsid w:val="00E04DC6"/>
    <w:rsid w:val="00E47F7A"/>
    <w:rsid w:val="00E62835"/>
    <w:rsid w:val="00E77645"/>
    <w:rsid w:val="00E83697"/>
    <w:rsid w:val="00EB1EB5"/>
    <w:rsid w:val="00EB3D3D"/>
    <w:rsid w:val="00EC2D60"/>
    <w:rsid w:val="00EC4428"/>
    <w:rsid w:val="00EC4A25"/>
    <w:rsid w:val="00EF3B81"/>
    <w:rsid w:val="00F025A2"/>
    <w:rsid w:val="00F07388"/>
    <w:rsid w:val="00F100CA"/>
    <w:rsid w:val="00F16614"/>
    <w:rsid w:val="00F2026E"/>
    <w:rsid w:val="00F2210A"/>
    <w:rsid w:val="00F3381C"/>
    <w:rsid w:val="00F34EFC"/>
    <w:rsid w:val="00F37743"/>
    <w:rsid w:val="00F54A3D"/>
    <w:rsid w:val="00F653B8"/>
    <w:rsid w:val="00F71B89"/>
    <w:rsid w:val="00F7353C"/>
    <w:rsid w:val="00F76F8F"/>
    <w:rsid w:val="00F91E84"/>
    <w:rsid w:val="00FA1266"/>
    <w:rsid w:val="00FA2F7B"/>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F00D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6D2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55D0A"/>
    <w:rPr>
      <w:rFonts w:ascii="Arial" w:hAnsi="Arial"/>
      <w:sz w:val="32"/>
      <w:lang w:eastAsia="en-US"/>
    </w:rPr>
  </w:style>
  <w:style w:type="character" w:customStyle="1" w:styleId="B1Zchn">
    <w:name w:val="B1 Zchn"/>
    <w:basedOn w:val="DefaultParagraphFont"/>
    <w:link w:val="B1"/>
    <w:locked/>
    <w:rsid w:val="00C55D0A"/>
    <w:rPr>
      <w:lang w:eastAsia="en-US"/>
    </w:rPr>
  </w:style>
  <w:style w:type="character" w:customStyle="1" w:styleId="THChar">
    <w:name w:val="TH Char"/>
    <w:link w:val="TH"/>
    <w:locked/>
    <w:rsid w:val="00C55D0A"/>
    <w:rPr>
      <w:rFonts w:ascii="Arial" w:hAnsi="Arial"/>
      <w:b/>
      <w:lang w:eastAsia="en-US"/>
    </w:rPr>
  </w:style>
  <w:style w:type="character" w:customStyle="1" w:styleId="TFChar">
    <w:name w:val="TF Char"/>
    <w:basedOn w:val="DefaultParagraphFont"/>
    <w:link w:val="TF"/>
    <w:locked/>
    <w:rsid w:val="00C55D0A"/>
    <w:rPr>
      <w:rFonts w:ascii="Arial" w:hAnsi="Arial"/>
      <w:b/>
      <w:lang w:eastAsia="en-US"/>
    </w:rPr>
  </w:style>
  <w:style w:type="paragraph" w:styleId="BalloonText">
    <w:name w:val="Balloon Text"/>
    <w:basedOn w:val="Normal"/>
    <w:link w:val="BalloonTextChar"/>
    <w:rsid w:val="0030278E"/>
    <w:pPr>
      <w:spacing w:after="0"/>
    </w:pPr>
    <w:rPr>
      <w:rFonts w:ascii="Segoe UI" w:hAnsi="Segoe UI" w:cs="Segoe UI"/>
      <w:sz w:val="18"/>
      <w:szCs w:val="18"/>
    </w:rPr>
  </w:style>
  <w:style w:type="character" w:customStyle="1" w:styleId="BalloonTextChar">
    <w:name w:val="Balloon Text Char"/>
    <w:basedOn w:val="DefaultParagraphFont"/>
    <w:link w:val="BalloonText"/>
    <w:rsid w:val="0030278E"/>
    <w:rPr>
      <w:rFonts w:ascii="Segoe UI" w:hAnsi="Segoe UI" w:cs="Segoe UI"/>
      <w:sz w:val="18"/>
      <w:szCs w:val="18"/>
      <w:lang w:eastAsia="en-US"/>
    </w:rPr>
  </w:style>
  <w:style w:type="character" w:customStyle="1" w:styleId="NOChar">
    <w:name w:val="NO Char"/>
    <w:link w:val="NO"/>
    <w:rsid w:val="00EB1EB5"/>
    <w:rPr>
      <w:lang w:eastAsia="en-US"/>
    </w:rPr>
  </w:style>
  <w:style w:type="character" w:customStyle="1" w:styleId="Heading3Char">
    <w:name w:val="Heading 3 Char"/>
    <w:basedOn w:val="DefaultParagraphFont"/>
    <w:link w:val="Heading3"/>
    <w:rsid w:val="00962206"/>
    <w:rPr>
      <w:rFonts w:ascii="Arial" w:hAnsi="Arial"/>
      <w:sz w:val="28"/>
      <w:lang w:eastAsia="en-US"/>
    </w:rPr>
  </w:style>
  <w:style w:type="character" w:customStyle="1" w:styleId="B1Char">
    <w:name w:val="B1 Char"/>
    <w:rsid w:val="004C42AE"/>
    <w:rPr>
      <w:rFonts w:ascii="Times New Roman" w:hAnsi="Times New Roman"/>
      <w:lang w:val="en-GB" w:eastAsia="en-US"/>
    </w:rPr>
  </w:style>
  <w:style w:type="character" w:customStyle="1" w:styleId="TFZchn">
    <w:name w:val="TF Zchn"/>
    <w:rsid w:val="004C42AE"/>
    <w:rPr>
      <w:rFonts w:ascii="Arial" w:hAnsi="Arial"/>
      <w:b/>
      <w:lang w:val="en-GB" w:eastAsia="x-none"/>
    </w:rPr>
  </w:style>
  <w:style w:type="paragraph" w:styleId="ListParagraph">
    <w:name w:val="List Paragraph"/>
    <w:basedOn w:val="Normal"/>
    <w:uiPriority w:val="34"/>
    <w:qFormat/>
    <w:rsid w:val="003D4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10304">
      <w:bodyDiv w:val="1"/>
      <w:marLeft w:val="0"/>
      <w:marRight w:val="0"/>
      <w:marTop w:val="0"/>
      <w:marBottom w:val="0"/>
      <w:divBdr>
        <w:top w:val="none" w:sz="0" w:space="0" w:color="auto"/>
        <w:left w:val="none" w:sz="0" w:space="0" w:color="auto"/>
        <w:bottom w:val="none" w:sz="0" w:space="0" w:color="auto"/>
        <w:right w:val="none" w:sz="0" w:space="0" w:color="auto"/>
      </w:divBdr>
    </w:div>
    <w:div w:id="415635543">
      <w:bodyDiv w:val="1"/>
      <w:marLeft w:val="0"/>
      <w:marRight w:val="0"/>
      <w:marTop w:val="0"/>
      <w:marBottom w:val="0"/>
      <w:divBdr>
        <w:top w:val="none" w:sz="0" w:space="0" w:color="auto"/>
        <w:left w:val="none" w:sz="0" w:space="0" w:color="auto"/>
        <w:bottom w:val="none" w:sz="0" w:space="0" w:color="auto"/>
        <w:right w:val="none" w:sz="0" w:space="0" w:color="auto"/>
      </w:divBdr>
    </w:div>
    <w:div w:id="476920637">
      <w:bodyDiv w:val="1"/>
      <w:marLeft w:val="0"/>
      <w:marRight w:val="0"/>
      <w:marTop w:val="0"/>
      <w:marBottom w:val="0"/>
      <w:divBdr>
        <w:top w:val="none" w:sz="0" w:space="0" w:color="auto"/>
        <w:left w:val="none" w:sz="0" w:space="0" w:color="auto"/>
        <w:bottom w:val="none" w:sz="0" w:space="0" w:color="auto"/>
        <w:right w:val="none" w:sz="0" w:space="0" w:color="auto"/>
      </w:divBdr>
    </w:div>
    <w:div w:id="615865033">
      <w:bodyDiv w:val="1"/>
      <w:marLeft w:val="0"/>
      <w:marRight w:val="0"/>
      <w:marTop w:val="0"/>
      <w:marBottom w:val="0"/>
      <w:divBdr>
        <w:top w:val="none" w:sz="0" w:space="0" w:color="auto"/>
        <w:left w:val="none" w:sz="0" w:space="0" w:color="auto"/>
        <w:bottom w:val="none" w:sz="0" w:space="0" w:color="auto"/>
        <w:right w:val="none" w:sz="0" w:space="0" w:color="auto"/>
      </w:divBdr>
    </w:div>
    <w:div w:id="848830685">
      <w:bodyDiv w:val="1"/>
      <w:marLeft w:val="0"/>
      <w:marRight w:val="0"/>
      <w:marTop w:val="0"/>
      <w:marBottom w:val="0"/>
      <w:divBdr>
        <w:top w:val="none" w:sz="0" w:space="0" w:color="auto"/>
        <w:left w:val="none" w:sz="0" w:space="0" w:color="auto"/>
        <w:bottom w:val="none" w:sz="0" w:space="0" w:color="auto"/>
        <w:right w:val="none" w:sz="0" w:space="0" w:color="auto"/>
      </w:divBdr>
    </w:div>
    <w:div w:id="908271163">
      <w:bodyDiv w:val="1"/>
      <w:marLeft w:val="0"/>
      <w:marRight w:val="0"/>
      <w:marTop w:val="0"/>
      <w:marBottom w:val="0"/>
      <w:divBdr>
        <w:top w:val="none" w:sz="0" w:space="0" w:color="auto"/>
        <w:left w:val="none" w:sz="0" w:space="0" w:color="auto"/>
        <w:bottom w:val="none" w:sz="0" w:space="0" w:color="auto"/>
        <w:right w:val="none" w:sz="0" w:space="0" w:color="auto"/>
      </w:divBdr>
    </w:div>
    <w:div w:id="1098140797">
      <w:bodyDiv w:val="1"/>
      <w:marLeft w:val="0"/>
      <w:marRight w:val="0"/>
      <w:marTop w:val="0"/>
      <w:marBottom w:val="0"/>
      <w:divBdr>
        <w:top w:val="none" w:sz="0" w:space="0" w:color="auto"/>
        <w:left w:val="none" w:sz="0" w:space="0" w:color="auto"/>
        <w:bottom w:val="none" w:sz="0" w:space="0" w:color="auto"/>
        <w:right w:val="none" w:sz="0" w:space="0" w:color="auto"/>
      </w:divBdr>
    </w:div>
    <w:div w:id="1455562189">
      <w:bodyDiv w:val="1"/>
      <w:marLeft w:val="0"/>
      <w:marRight w:val="0"/>
      <w:marTop w:val="0"/>
      <w:marBottom w:val="0"/>
      <w:divBdr>
        <w:top w:val="none" w:sz="0" w:space="0" w:color="auto"/>
        <w:left w:val="none" w:sz="0" w:space="0" w:color="auto"/>
        <w:bottom w:val="none" w:sz="0" w:space="0" w:color="auto"/>
        <w:right w:val="none" w:sz="0" w:space="0" w:color="auto"/>
      </w:divBdr>
    </w:div>
    <w:div w:id="1497112185">
      <w:bodyDiv w:val="1"/>
      <w:marLeft w:val="0"/>
      <w:marRight w:val="0"/>
      <w:marTop w:val="0"/>
      <w:marBottom w:val="0"/>
      <w:divBdr>
        <w:top w:val="none" w:sz="0" w:space="0" w:color="auto"/>
        <w:left w:val="none" w:sz="0" w:space="0" w:color="auto"/>
        <w:bottom w:val="none" w:sz="0" w:space="0" w:color="auto"/>
        <w:right w:val="none" w:sz="0" w:space="0" w:color="auto"/>
      </w:divBdr>
    </w:div>
    <w:div w:id="1536576178">
      <w:bodyDiv w:val="1"/>
      <w:marLeft w:val="0"/>
      <w:marRight w:val="0"/>
      <w:marTop w:val="0"/>
      <w:marBottom w:val="0"/>
      <w:divBdr>
        <w:top w:val="none" w:sz="0" w:space="0" w:color="auto"/>
        <w:left w:val="none" w:sz="0" w:space="0" w:color="auto"/>
        <w:bottom w:val="none" w:sz="0" w:space="0" w:color="auto"/>
        <w:right w:val="none" w:sz="0" w:space="0" w:color="auto"/>
      </w:divBdr>
    </w:div>
    <w:div w:id="175906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16</TotalTime>
  <Pages>3</Pages>
  <Words>857</Words>
  <Characters>5147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Changes needed to the LTE DC procedures to support EN-DC</dc:title>
  <dc:subject>3GPP RAN3 #96</dc:subject>
  <dc:creator>Nokia</dc:creator>
  <cp:lastModifiedBy>Nokia</cp:lastModifiedBy>
  <cp:revision>4</cp:revision>
  <dcterms:created xsi:type="dcterms:W3CDTF">2017-05-04T08:11:00Z</dcterms:created>
  <dcterms:modified xsi:type="dcterms:W3CDTF">2017-05-05T12:41:00Z</dcterms:modified>
</cp:coreProperties>
</file>